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CBD0" w14:textId="77777777" w:rsidR="006D7C38" w:rsidRDefault="006D7C38" w:rsidP="006D7C38">
      <w:pPr>
        <w:pStyle w:val="Nagwek"/>
        <w:rPr>
          <w:rFonts w:ascii="Garamond" w:hAnsi="Garamond"/>
          <w:b/>
          <w:bCs/>
        </w:rPr>
      </w:pPr>
    </w:p>
    <w:p w14:paraId="7977EC81" w14:textId="77777777" w:rsidR="006D7C38" w:rsidRDefault="006D7C38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  <w:r w:rsidRPr="006D7C38">
        <w:rPr>
          <w:rFonts w:ascii="Garamond" w:hAnsi="Garamond"/>
          <w:b/>
          <w:bCs/>
          <w:sz w:val="24"/>
          <w:szCs w:val="24"/>
        </w:rPr>
        <w:t xml:space="preserve">Minimalne wymagania ilościowe i jakościowe </w:t>
      </w:r>
    </w:p>
    <w:p w14:paraId="157BB291" w14:textId="6017507E" w:rsidR="006D7C38" w:rsidRDefault="006D7C38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  <w:r w:rsidRPr="006D7C38">
        <w:rPr>
          <w:rFonts w:ascii="Garamond" w:hAnsi="Garamond"/>
          <w:b/>
          <w:bCs/>
          <w:sz w:val="24"/>
          <w:szCs w:val="24"/>
        </w:rPr>
        <w:t>dla pobieranej dodatkowej próbki krwi obwodowej pełnej</w:t>
      </w:r>
    </w:p>
    <w:p w14:paraId="4B72E086" w14:textId="77777777" w:rsidR="005C70D0" w:rsidRDefault="005C70D0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</w:p>
    <w:p w14:paraId="0713E973" w14:textId="77777777" w:rsidR="005C70D0" w:rsidRPr="006D7C38" w:rsidRDefault="005C70D0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</w:p>
    <w:p w14:paraId="7C3B3C03" w14:textId="18B79059" w:rsidR="00F65E59" w:rsidRPr="0097214A" w:rsidRDefault="008F2672" w:rsidP="005C70D0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>K</w:t>
      </w:r>
      <w:r w:rsidR="007E5EDA" w:rsidRPr="0097214A">
        <w:rPr>
          <w:rFonts w:ascii="Garamond" w:hAnsi="Garamond" w:cs="Times New Roman"/>
        </w:rPr>
        <w:t xml:space="preserve">rew </w:t>
      </w:r>
      <w:r w:rsidRPr="0097214A">
        <w:rPr>
          <w:rFonts w:ascii="Garamond" w:hAnsi="Garamond" w:cs="Times New Roman"/>
        </w:rPr>
        <w:t xml:space="preserve">pełna </w:t>
      </w:r>
      <w:r w:rsidR="007E5EDA" w:rsidRPr="0097214A">
        <w:rPr>
          <w:rFonts w:ascii="Garamond" w:hAnsi="Garamond" w:cs="Times New Roman"/>
        </w:rPr>
        <w:t xml:space="preserve">obwodowa </w:t>
      </w:r>
      <w:r w:rsidR="00F65E59" w:rsidRPr="0097214A">
        <w:rPr>
          <w:rFonts w:ascii="Garamond" w:hAnsi="Garamond" w:cs="Times New Roman"/>
        </w:rPr>
        <w:t xml:space="preserve">powinna być </w:t>
      </w:r>
      <w:r w:rsidR="007E5EDA" w:rsidRPr="0097214A">
        <w:rPr>
          <w:rFonts w:ascii="Garamond" w:hAnsi="Garamond" w:cs="Times New Roman"/>
        </w:rPr>
        <w:t>pobierana do standardowych</w:t>
      </w:r>
      <w:r w:rsidRPr="0097214A">
        <w:rPr>
          <w:rFonts w:ascii="Garamond" w:hAnsi="Garamond" w:cs="Times New Roman"/>
        </w:rPr>
        <w:t xml:space="preserve">, </w:t>
      </w:r>
      <w:r w:rsidR="007E5EDA" w:rsidRPr="0097214A">
        <w:rPr>
          <w:rFonts w:ascii="Garamond" w:hAnsi="Garamond" w:cs="Times New Roman"/>
        </w:rPr>
        <w:t>jałowych probówek z</w:t>
      </w:r>
      <w:r w:rsidR="00E07224">
        <w:rPr>
          <w:rFonts w:ascii="Garamond" w:hAnsi="Garamond" w:cs="Times New Roman"/>
        </w:rPr>
        <w:t> </w:t>
      </w:r>
      <w:r w:rsidR="007E5EDA" w:rsidRPr="0097214A">
        <w:rPr>
          <w:rFonts w:ascii="Garamond" w:hAnsi="Garamond" w:cs="Times New Roman"/>
        </w:rPr>
        <w:t xml:space="preserve">antykoagulantem EDTA. </w:t>
      </w:r>
    </w:p>
    <w:p w14:paraId="0B5C6411" w14:textId="5E8A634E" w:rsidR="008F2672" w:rsidRPr="0097214A" w:rsidRDefault="007E5EDA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>Pobrana krew powinna mieć jednorodną konsystencję i nie zawierać skrzepów.</w:t>
      </w:r>
      <w:r w:rsidR="008A412F" w:rsidRPr="0097214A">
        <w:rPr>
          <w:rFonts w:ascii="Garamond" w:hAnsi="Garamond" w:cs="Times New Roman"/>
        </w:rPr>
        <w:t xml:space="preserve"> Krwi nie należy frakcjonować</w:t>
      </w:r>
      <w:r w:rsidR="00595061" w:rsidRPr="0097214A">
        <w:rPr>
          <w:rFonts w:ascii="Garamond" w:hAnsi="Garamond" w:cs="Times New Roman"/>
        </w:rPr>
        <w:t>.</w:t>
      </w:r>
    </w:p>
    <w:p w14:paraId="133938DC" w14:textId="37DBE6EB" w:rsidR="00F65E59" w:rsidRPr="00D96E16" w:rsidRDefault="00F65E59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  <w:strike/>
          <w:color w:val="EE0000"/>
        </w:rPr>
      </w:pPr>
      <w:r w:rsidRPr="00D96E16">
        <w:rPr>
          <w:rFonts w:ascii="Garamond" w:hAnsi="Garamond" w:cs="Times New Roman"/>
          <w:strike/>
          <w:color w:val="EE0000"/>
        </w:rPr>
        <w:t>Temperatura przechowywania przed dostarczeniem krwi do biobanku i w czasie transportu to 4</w:t>
      </w:r>
      <w:r w:rsidRPr="00D96E16">
        <w:rPr>
          <w:rFonts w:ascii="Garamond" w:hAnsi="Garamond" w:cs="Times New Roman"/>
          <w:strike/>
          <w:color w:val="EE0000"/>
          <w:vertAlign w:val="superscript"/>
        </w:rPr>
        <w:t>o</w:t>
      </w:r>
      <w:r w:rsidRPr="00D96E16">
        <w:rPr>
          <w:rFonts w:ascii="Garamond" w:hAnsi="Garamond" w:cs="Times New Roman"/>
          <w:strike/>
          <w:color w:val="EE0000"/>
        </w:rPr>
        <w:t>C.</w:t>
      </w:r>
      <w:r w:rsidR="000F75A3" w:rsidRPr="00D96E16">
        <w:rPr>
          <w:rFonts w:ascii="Garamond" w:hAnsi="Garamond" w:cs="Times New Roman"/>
          <w:strike/>
          <w:color w:val="EE0000"/>
        </w:rPr>
        <w:t xml:space="preserve"> </w:t>
      </w:r>
      <w:r w:rsidR="00445BCE" w:rsidRPr="00D96E16">
        <w:rPr>
          <w:rFonts w:ascii="Garamond" w:hAnsi="Garamond" w:cs="Times New Roman"/>
          <w:strike/>
          <w:color w:val="EE0000"/>
        </w:rPr>
        <w:t>Krew</w:t>
      </w:r>
      <w:r w:rsidR="000F75A3" w:rsidRPr="00D96E16">
        <w:rPr>
          <w:rFonts w:ascii="Garamond" w:hAnsi="Garamond" w:cs="Times New Roman"/>
          <w:strike/>
          <w:color w:val="EE0000"/>
        </w:rPr>
        <w:t xml:space="preserve"> nie może być zamrażan</w:t>
      </w:r>
      <w:r w:rsidR="00445BCE" w:rsidRPr="00D96E16">
        <w:rPr>
          <w:rFonts w:ascii="Garamond" w:hAnsi="Garamond" w:cs="Times New Roman"/>
          <w:strike/>
          <w:color w:val="EE0000"/>
        </w:rPr>
        <w:t>a</w:t>
      </w:r>
      <w:r w:rsidR="000F75A3" w:rsidRPr="00D96E16">
        <w:rPr>
          <w:rFonts w:ascii="Garamond" w:hAnsi="Garamond" w:cs="Times New Roman"/>
          <w:strike/>
          <w:color w:val="EE0000"/>
        </w:rPr>
        <w:t>.</w:t>
      </w:r>
    </w:p>
    <w:p w14:paraId="432FF31D" w14:textId="2E1FFDFB" w:rsidR="003851A4" w:rsidRPr="00D96E16" w:rsidRDefault="007E5EDA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  <w:strike/>
          <w:color w:val="EE0000"/>
        </w:rPr>
      </w:pPr>
      <w:r w:rsidRPr="00D96E16">
        <w:rPr>
          <w:rFonts w:ascii="Garamond" w:hAnsi="Garamond" w:cs="Times New Roman"/>
          <w:strike/>
          <w:color w:val="EE0000"/>
        </w:rPr>
        <w:t xml:space="preserve">Materiał </w:t>
      </w:r>
      <w:r w:rsidR="00E20A8C" w:rsidRPr="00D96E16">
        <w:rPr>
          <w:rFonts w:ascii="Garamond" w:hAnsi="Garamond" w:cs="Times New Roman"/>
          <w:strike/>
          <w:color w:val="EE0000"/>
        </w:rPr>
        <w:t xml:space="preserve">biologiczny </w:t>
      </w:r>
      <w:r w:rsidRPr="00D96E16">
        <w:rPr>
          <w:rFonts w:ascii="Garamond" w:hAnsi="Garamond" w:cs="Times New Roman"/>
          <w:strike/>
          <w:color w:val="EE0000"/>
        </w:rPr>
        <w:t>powinien zostać dostarczony do biobanku w czasie nie dłuższym niż 96 godzin</w:t>
      </w:r>
      <w:r w:rsidR="0097214A" w:rsidRPr="00D96E16">
        <w:rPr>
          <w:rFonts w:ascii="Garamond" w:hAnsi="Garamond" w:cs="Times New Roman"/>
          <w:strike/>
          <w:color w:val="EE0000"/>
        </w:rPr>
        <w:t xml:space="preserve"> od pobrania</w:t>
      </w:r>
      <w:r w:rsidR="003851A4" w:rsidRPr="00D96E16">
        <w:rPr>
          <w:rFonts w:ascii="Garamond" w:hAnsi="Garamond" w:cs="Times New Roman"/>
          <w:strike/>
          <w:color w:val="EE0000"/>
        </w:rPr>
        <w:t>.</w:t>
      </w:r>
      <w:r w:rsidR="00D96E16" w:rsidRPr="00454449">
        <w:rPr>
          <w:rFonts w:ascii="Garamond" w:hAnsi="Garamond" w:cs="Times New Roman"/>
          <w:color w:val="EE0000"/>
          <w:sz w:val="28"/>
          <w:szCs w:val="28"/>
        </w:rPr>
        <w:t>*</w:t>
      </w:r>
    </w:p>
    <w:p w14:paraId="6F899CCA" w14:textId="77777777" w:rsidR="008A412F" w:rsidRPr="0097214A" w:rsidRDefault="007E5EDA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 xml:space="preserve">Objętość </w:t>
      </w:r>
      <w:proofErr w:type="spellStart"/>
      <w:r w:rsidRPr="0097214A">
        <w:rPr>
          <w:rFonts w:ascii="Garamond" w:hAnsi="Garamond" w:cs="Times New Roman"/>
        </w:rPr>
        <w:t>bankowanej</w:t>
      </w:r>
      <w:proofErr w:type="spellEnd"/>
      <w:r w:rsidRPr="0097214A">
        <w:rPr>
          <w:rFonts w:ascii="Garamond" w:hAnsi="Garamond" w:cs="Times New Roman"/>
        </w:rPr>
        <w:t xml:space="preserve"> krwi jest zależna od systemu biobankowania, jednak nie powinna być mniejsza niż 200ul w pojedynczej probówce (optymalnie 500ul).</w:t>
      </w:r>
    </w:p>
    <w:p w14:paraId="614A92AD" w14:textId="5DA03A10" w:rsidR="00D96E16" w:rsidRDefault="007E5EDA" w:rsidP="00D96E16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 xml:space="preserve">Warunki przechowywania </w:t>
      </w:r>
      <w:r w:rsidR="008A412F" w:rsidRPr="0097214A">
        <w:rPr>
          <w:rFonts w:ascii="Garamond" w:hAnsi="Garamond" w:cs="Times New Roman"/>
        </w:rPr>
        <w:t>krwi</w:t>
      </w:r>
      <w:r w:rsidRPr="0097214A">
        <w:rPr>
          <w:rFonts w:ascii="Garamond" w:hAnsi="Garamond" w:cs="Times New Roman"/>
        </w:rPr>
        <w:t xml:space="preserve"> w biobanku: -80</w:t>
      </w:r>
      <w:r w:rsidRPr="0097214A">
        <w:rPr>
          <w:rFonts w:ascii="Garamond" w:hAnsi="Garamond" w:cs="Times New Roman"/>
          <w:vertAlign w:val="superscript"/>
        </w:rPr>
        <w:t>o</w:t>
      </w:r>
      <w:r w:rsidRPr="0097214A">
        <w:rPr>
          <w:rFonts w:ascii="Garamond" w:hAnsi="Garamond" w:cs="Times New Roman"/>
        </w:rPr>
        <w:t>C (zamrażarki do głębokiego mrożenia).</w:t>
      </w:r>
    </w:p>
    <w:p w14:paraId="71BF9086" w14:textId="77777777" w:rsidR="00D96E16" w:rsidRDefault="00D96E16" w:rsidP="00D96E16">
      <w:pPr>
        <w:spacing w:line="360" w:lineRule="auto"/>
        <w:jc w:val="both"/>
        <w:rPr>
          <w:rFonts w:ascii="Garamond" w:hAnsi="Garamond" w:cs="Times New Roman"/>
          <w:bCs/>
        </w:rPr>
      </w:pPr>
    </w:p>
    <w:p w14:paraId="758CC8E1" w14:textId="2C025D3C" w:rsidR="00D96E16" w:rsidRPr="00D96E16" w:rsidRDefault="00D96E16" w:rsidP="00D96E16">
      <w:pPr>
        <w:spacing w:line="360" w:lineRule="auto"/>
        <w:jc w:val="both"/>
        <w:rPr>
          <w:rFonts w:ascii="Garamond" w:hAnsi="Garamond" w:cs="Times New Roman"/>
          <w:bCs/>
          <w:color w:val="EE0000"/>
        </w:rPr>
      </w:pPr>
      <w:r w:rsidRPr="00454449">
        <w:rPr>
          <w:rFonts w:ascii="Garamond" w:hAnsi="Garamond" w:cs="Times New Roman"/>
          <w:bCs/>
          <w:color w:val="EE0000"/>
          <w:sz w:val="28"/>
          <w:szCs w:val="28"/>
        </w:rPr>
        <w:t>*</w:t>
      </w:r>
      <w:r w:rsidRPr="00D96E16">
        <w:rPr>
          <w:rFonts w:ascii="Garamond" w:hAnsi="Garamond" w:cs="Times New Roman"/>
          <w:bCs/>
          <w:color w:val="EE0000"/>
        </w:rPr>
        <w:t xml:space="preserve"> próbki po pobraniu będą zamrożone w Ośrodkach, w których prowadzone jest badanie zgodnie ze standardami Polskiej Sieci </w:t>
      </w:r>
      <w:proofErr w:type="spellStart"/>
      <w:r w:rsidRPr="00D96E16">
        <w:rPr>
          <w:rFonts w:ascii="Garamond" w:hAnsi="Garamond" w:cs="Times New Roman"/>
          <w:bCs/>
          <w:color w:val="EE0000"/>
        </w:rPr>
        <w:t>Biobanków</w:t>
      </w:r>
      <w:proofErr w:type="spellEnd"/>
      <w:r w:rsidRPr="00D96E16">
        <w:rPr>
          <w:rFonts w:ascii="Garamond" w:hAnsi="Garamond" w:cs="Times New Roman"/>
          <w:bCs/>
          <w:color w:val="EE0000"/>
        </w:rPr>
        <w:t xml:space="preserve"> v.2.0 i wysyłane do </w:t>
      </w:r>
      <w:proofErr w:type="spellStart"/>
      <w:r w:rsidRPr="00D96E16">
        <w:rPr>
          <w:rFonts w:ascii="Garamond" w:hAnsi="Garamond" w:cs="Times New Roman"/>
          <w:bCs/>
          <w:color w:val="EE0000"/>
        </w:rPr>
        <w:t>biobanku</w:t>
      </w:r>
      <w:proofErr w:type="spellEnd"/>
      <w:r w:rsidRPr="00D96E16">
        <w:rPr>
          <w:rFonts w:ascii="Garamond" w:hAnsi="Garamond" w:cs="Times New Roman"/>
          <w:bCs/>
          <w:color w:val="EE0000"/>
        </w:rPr>
        <w:t xml:space="preserve"> zbiorczo raz na kwartał</w:t>
      </w:r>
    </w:p>
    <w:p w14:paraId="4B15D263" w14:textId="5C8EA649" w:rsidR="00D96E16" w:rsidRDefault="00D96E16" w:rsidP="00D96E16">
      <w:pPr>
        <w:spacing w:line="360" w:lineRule="auto"/>
        <w:jc w:val="both"/>
        <w:rPr>
          <w:rFonts w:ascii="Garamond" w:hAnsi="Garamond" w:cs="Times New Roman"/>
          <w:bCs/>
        </w:rPr>
      </w:pPr>
      <w:r w:rsidRPr="00D96E16">
        <w:rPr>
          <w:rFonts w:ascii="Garamond" w:hAnsi="Garamond" w:cs="Times New Roman"/>
          <w:bCs/>
          <w:color w:val="EE0000"/>
        </w:rPr>
        <w:t xml:space="preserve">Zmiana ww. warunków jest możliwa, jeśli zostanie przeprowadzona wizyta kontrolna przez personel </w:t>
      </w:r>
      <w:proofErr w:type="spellStart"/>
      <w:r w:rsidRPr="00D96E16">
        <w:rPr>
          <w:rFonts w:ascii="Garamond" w:hAnsi="Garamond" w:cs="Times New Roman"/>
          <w:bCs/>
          <w:color w:val="EE0000"/>
        </w:rPr>
        <w:t>Biobanku</w:t>
      </w:r>
      <w:proofErr w:type="spellEnd"/>
      <w:r w:rsidRPr="00D96E16">
        <w:rPr>
          <w:rFonts w:ascii="Garamond" w:hAnsi="Garamond" w:cs="Times New Roman"/>
          <w:bCs/>
          <w:color w:val="EE0000"/>
        </w:rPr>
        <w:t>, w celu potwierdzenia spełniania odpowiednich warunków technicznych, z której sporządzony zostanie odpowiedni raport</w:t>
      </w:r>
      <w:r>
        <w:rPr>
          <w:rFonts w:ascii="Garamond" w:hAnsi="Garamond" w:cs="Times New Roman"/>
          <w:bCs/>
        </w:rPr>
        <w:t xml:space="preserve">. </w:t>
      </w:r>
      <w:r w:rsidRPr="00546A10">
        <w:rPr>
          <w:rFonts w:ascii="Garamond" w:hAnsi="Garamond" w:cs="Times New Roman"/>
          <w:bCs/>
          <w:i/>
          <w:iCs/>
          <w:color w:val="EE0000"/>
        </w:rPr>
        <w:t xml:space="preserve">(zgodnie z odpowiedzią Agencji Badań Medycznych </w:t>
      </w:r>
      <w:r w:rsidR="00546A10">
        <w:rPr>
          <w:rFonts w:ascii="Garamond" w:hAnsi="Garamond" w:cs="Times New Roman"/>
          <w:bCs/>
          <w:i/>
          <w:iCs/>
          <w:color w:val="EE0000"/>
        </w:rPr>
        <w:t xml:space="preserve">z 04.07.2025 r. </w:t>
      </w:r>
      <w:r w:rsidRPr="00546A10">
        <w:rPr>
          <w:rFonts w:ascii="Garamond" w:hAnsi="Garamond" w:cs="Times New Roman"/>
          <w:bCs/>
          <w:i/>
          <w:iCs/>
          <w:color w:val="EE0000"/>
        </w:rPr>
        <w:t>na pismo AHP z 1</w:t>
      </w:r>
      <w:r w:rsidR="0049772C">
        <w:rPr>
          <w:rFonts w:ascii="Garamond" w:hAnsi="Garamond" w:cs="Times New Roman"/>
          <w:bCs/>
          <w:i/>
          <w:iCs/>
          <w:color w:val="EE0000"/>
        </w:rPr>
        <w:t> </w:t>
      </w:r>
      <w:r w:rsidRPr="00546A10">
        <w:rPr>
          <w:rFonts w:ascii="Garamond" w:hAnsi="Garamond" w:cs="Times New Roman"/>
          <w:bCs/>
          <w:i/>
          <w:iCs/>
          <w:color w:val="EE0000"/>
        </w:rPr>
        <w:t>lipca 2025 r.</w:t>
      </w:r>
      <w:r w:rsidR="00546A10" w:rsidRPr="00546A10">
        <w:rPr>
          <w:rFonts w:ascii="Garamond" w:hAnsi="Garamond" w:cs="Times New Roman"/>
          <w:bCs/>
          <w:i/>
          <w:iCs/>
          <w:color w:val="EE0000"/>
        </w:rPr>
        <w:t xml:space="preserve"> dotyczące przechowywania materiału biologicznego przeznaczonego do </w:t>
      </w:r>
      <w:proofErr w:type="spellStart"/>
      <w:r w:rsidR="00546A10" w:rsidRPr="00546A10">
        <w:rPr>
          <w:rFonts w:ascii="Garamond" w:hAnsi="Garamond" w:cs="Times New Roman"/>
          <w:bCs/>
          <w:i/>
          <w:iCs/>
          <w:color w:val="EE0000"/>
        </w:rPr>
        <w:t>biobankowania</w:t>
      </w:r>
      <w:proofErr w:type="spellEnd"/>
      <w:r w:rsidRPr="00546A10">
        <w:rPr>
          <w:rFonts w:ascii="Garamond" w:hAnsi="Garamond" w:cs="Times New Roman"/>
          <w:bCs/>
          <w:i/>
          <w:iCs/>
          <w:color w:val="EE0000"/>
        </w:rPr>
        <w:t>)</w:t>
      </w:r>
    </w:p>
    <w:p w14:paraId="26FD7DFA" w14:textId="77777777" w:rsidR="00D96E16" w:rsidRPr="00D96E16" w:rsidRDefault="00D96E16" w:rsidP="00D96E16">
      <w:pPr>
        <w:spacing w:line="360" w:lineRule="auto"/>
        <w:jc w:val="both"/>
        <w:rPr>
          <w:rFonts w:ascii="Garamond" w:hAnsi="Garamond" w:cs="Times New Roman"/>
        </w:rPr>
      </w:pPr>
    </w:p>
    <w:sectPr w:rsidR="00D96E16" w:rsidRPr="00D96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310A" w14:textId="77777777" w:rsidR="00432C32" w:rsidRDefault="00432C32" w:rsidP="0097214A">
      <w:pPr>
        <w:spacing w:after="0" w:line="240" w:lineRule="auto"/>
      </w:pPr>
      <w:r>
        <w:separator/>
      </w:r>
    </w:p>
  </w:endnote>
  <w:endnote w:type="continuationSeparator" w:id="0">
    <w:p w14:paraId="378ED54A" w14:textId="77777777" w:rsidR="00432C32" w:rsidRDefault="00432C32" w:rsidP="0097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9063" w14:textId="77777777" w:rsidR="00432C32" w:rsidRDefault="00432C32" w:rsidP="0097214A">
      <w:pPr>
        <w:spacing w:after="0" w:line="240" w:lineRule="auto"/>
      </w:pPr>
      <w:r>
        <w:separator/>
      </w:r>
    </w:p>
  </w:footnote>
  <w:footnote w:type="continuationSeparator" w:id="0">
    <w:p w14:paraId="32BAF83D" w14:textId="77777777" w:rsidR="00432C32" w:rsidRDefault="00432C32" w:rsidP="0097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C1FA" w14:textId="77777777" w:rsidR="006D7C38" w:rsidRPr="00981B83" w:rsidRDefault="006D7C38" w:rsidP="006D7C38">
    <w:r w:rsidRPr="00981B83">
      <w:rPr>
        <w:noProof/>
      </w:rPr>
      <w:drawing>
        <wp:anchor distT="0" distB="0" distL="114300" distR="114300" simplePos="0" relativeHeight="251659264" behindDoc="1" locked="0" layoutInCell="1" allowOverlap="1" wp14:anchorId="1CB24C69" wp14:editId="7F2A1E46">
          <wp:simplePos x="0" y="0"/>
          <wp:positionH relativeFrom="margin">
            <wp:align>center</wp:align>
          </wp:positionH>
          <wp:positionV relativeFrom="paragraph">
            <wp:posOffset>45720</wp:posOffset>
          </wp:positionV>
          <wp:extent cx="658286" cy="360000"/>
          <wp:effectExtent l="0" t="0" r="0" b="2540"/>
          <wp:wrapTight wrapText="bothSides">
            <wp:wrapPolygon edited="0">
              <wp:start x="0" y="0"/>
              <wp:lineTo x="0" y="20608"/>
              <wp:lineTo x="20641" y="20608"/>
              <wp:lineTo x="20641" y="0"/>
              <wp:lineTo x="0" y="0"/>
            </wp:wrapPolygon>
          </wp:wrapTight>
          <wp:docPr id="422128811" name="Obraz 422128811" descr="Obraz zawierający Czcionka, tekst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28811" name="Obraz 422128811" descr="Obraz zawierający Czcionka, tekst, logo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86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2234F0" w14:textId="77777777" w:rsidR="006D7C38" w:rsidRDefault="006D7C38" w:rsidP="006D7C38">
    <w:pPr>
      <w:jc w:val="right"/>
    </w:pPr>
  </w:p>
  <w:p w14:paraId="4855BFF7" w14:textId="449D82CE" w:rsidR="006D7C38" w:rsidRPr="00981B83" w:rsidRDefault="006D7C38" w:rsidP="006D7C38">
    <w:pPr>
      <w:ind w:left="3402"/>
      <w:jc w:val="right"/>
      <w:rPr>
        <w:i/>
        <w:iCs/>
        <w:sz w:val="16"/>
        <w:szCs w:val="16"/>
      </w:rPr>
    </w:pPr>
    <w:r w:rsidRPr="00981B83">
      <w:rPr>
        <w:i/>
        <w:iCs/>
        <w:sz w:val="16"/>
        <w:szCs w:val="16"/>
      </w:rPr>
      <w:t xml:space="preserve">Załącznik nr </w:t>
    </w:r>
    <w:r>
      <w:rPr>
        <w:i/>
        <w:iCs/>
        <w:sz w:val="16"/>
        <w:szCs w:val="16"/>
      </w:rPr>
      <w:t xml:space="preserve">5 </w:t>
    </w:r>
    <w:r w:rsidRPr="00981B83">
      <w:rPr>
        <w:i/>
        <w:iCs/>
        <w:sz w:val="16"/>
        <w:szCs w:val="16"/>
      </w:rPr>
      <w:t xml:space="preserve"> do Umowy o pobieraniu, przechowywaniu, zabezpieczeniu, przekazywaniu i udostępnianiu Materiału, w tym Materiału biologicznego do celów przyszłych badań naukowych lub badawczo – rozwojowych</w:t>
    </w:r>
  </w:p>
  <w:p w14:paraId="44B48DFE" w14:textId="2D508395" w:rsidR="0097214A" w:rsidRPr="006D7C38" w:rsidRDefault="0097214A" w:rsidP="006D7C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D7A"/>
    <w:multiLevelType w:val="hybridMultilevel"/>
    <w:tmpl w:val="D9088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4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DA"/>
    <w:rsid w:val="0005228B"/>
    <w:rsid w:val="000C5C2A"/>
    <w:rsid w:val="000F75A3"/>
    <w:rsid w:val="001C6444"/>
    <w:rsid w:val="0023279E"/>
    <w:rsid w:val="00292BAA"/>
    <w:rsid w:val="002C77F3"/>
    <w:rsid w:val="00384ADA"/>
    <w:rsid w:val="003851A4"/>
    <w:rsid w:val="00432C32"/>
    <w:rsid w:val="00445BCE"/>
    <w:rsid w:val="00454449"/>
    <w:rsid w:val="0049486B"/>
    <w:rsid w:val="0049772C"/>
    <w:rsid w:val="00546A10"/>
    <w:rsid w:val="00595061"/>
    <w:rsid w:val="005C70D0"/>
    <w:rsid w:val="006116B2"/>
    <w:rsid w:val="006D7C38"/>
    <w:rsid w:val="007E5EDA"/>
    <w:rsid w:val="00884E4E"/>
    <w:rsid w:val="008A412F"/>
    <w:rsid w:val="008F2672"/>
    <w:rsid w:val="0097214A"/>
    <w:rsid w:val="00A86CC2"/>
    <w:rsid w:val="00B84F21"/>
    <w:rsid w:val="00BC5A38"/>
    <w:rsid w:val="00C8118E"/>
    <w:rsid w:val="00D96E16"/>
    <w:rsid w:val="00DA6515"/>
    <w:rsid w:val="00E07224"/>
    <w:rsid w:val="00E20A8C"/>
    <w:rsid w:val="00EA6070"/>
    <w:rsid w:val="00F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A15C"/>
  <w15:chartTrackingRefBased/>
  <w15:docId w15:val="{F06189D2-2DB2-4F69-8561-450821E0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E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14A"/>
  </w:style>
  <w:style w:type="paragraph" w:styleId="Stopka">
    <w:name w:val="footer"/>
    <w:basedOn w:val="Normalny"/>
    <w:link w:val="StopkaZnak"/>
    <w:uiPriority w:val="99"/>
    <w:unhideWhenUsed/>
    <w:rsid w:val="0097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Nowak-Życzyńska</dc:creator>
  <cp:keywords/>
  <dc:description/>
  <cp:lastModifiedBy>Magdalena Buglewicz</cp:lastModifiedBy>
  <cp:revision>5</cp:revision>
  <dcterms:created xsi:type="dcterms:W3CDTF">2025-07-22T08:50:00Z</dcterms:created>
  <dcterms:modified xsi:type="dcterms:W3CDTF">2025-07-22T08:58:00Z</dcterms:modified>
</cp:coreProperties>
</file>